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Toc23176"/>
      <w:r>
        <w:rPr>
          <w:rFonts w:hint="eastAsia" w:ascii="宋体" w:hAnsi="宋体"/>
          <w:bCs/>
          <w:sz w:val="44"/>
          <w:szCs w:val="4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祁连县财政局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关于开展财政内部监督检查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结论的公告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为进一步规范财政部门管理行为，强化财政内部权利制约，提高财政管理水平，确保财政干部安全和财政资金安全，加强廉政建设，根据2022年省对下级政府财政运行综合绩效考评指标体系要求，我局于2022年11月对局政府采购服务中心、财务室开展内部监督检查，结论如下：</w:t>
      </w:r>
    </w:p>
    <w:p>
      <w:pPr>
        <w:pStyle w:val="2"/>
        <w:ind w:firstLine="640" w:firstLineChars="200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祁连县财政局是县政府工作部门，为正科级。祁连县财政局机关行政编制6名。其中：局长1名，副局长2名。组织机构代码为：1163222201503756XN，内设13个工作部门，分别是办公室、综合股、社保股、国库集中支付中心、经建股、行财股、财政监督检查股、农财股、金融办、国库、预算股、绩效股、政府采购服务中心。通过检查，财政局有完善的内控制度体系，2021年10月制定祁连县财政局内部控制手册，按要求成立了内部控制领导小组、内部控制工作小组人员构成、内部控制评价监督小组。自内控工作开展以来，我局将建章立制工作放在首位，先后印发了《祁连县级预算管理办法》</w:t>
      </w:r>
      <w:bookmarkStart w:id="1" w:name="_Toc8892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、《祁连县财政局财务管理制度》</w:t>
      </w:r>
      <w:bookmarkEnd w:id="1"/>
      <w:bookmarkStart w:id="2" w:name="_Toc17134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、《祁连财政局采购管理制度》</w:t>
      </w:r>
      <w:bookmarkEnd w:id="2"/>
      <w:bookmarkStart w:id="3" w:name="_Toc5594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、《国有资产配置管理办法》</w:t>
      </w:r>
      <w:bookmarkEnd w:id="3"/>
      <w:bookmarkStart w:id="4" w:name="_Toc26811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、《祁连县行政事业行单位国有资产处置管理规定》</w:t>
      </w:r>
      <w:bookmarkEnd w:id="4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、《祁连县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财政局合同管理制度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》等规范性制度，局室各工作人员分工明确，各司其职，各项工作顺利展开。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二、检查基本情况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（一）内控被检查股室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政府采购服务中心、财务室。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（二）检查内容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内部控制的建立与执行情况，工作流程、分工是否明确。2021年度单位财务收支、会计业务情况，2021年度政府采购规范运行情况、采购目录及采购程序的执行情况、政府采购效率及工作质量情况、建立健全内部管理监督制度情况、投诉质疑及废标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三、检查结果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通过检查发现，各股室分事行权、分岗设权、强化内部控制流程，未发现有违规现象。详细情况如下：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（一）财务办公室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现有工作人员2名，其中：会计1名、出纳1名。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2021年度收入合计1178.19万元，其中：一般公共预算财政拨款收入1173.39万元，其他收入4.79万元。支出合计1233.82万元，其中：基本支出788.40万6元（人员经费738.63万元，公用经费49.77万元），项目支出445.41万元。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经检查1.各项收入、支出符合国家相关法律、法规规定；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2、票据、印章、资金等保管合理、合规，没有因保管不善或滥用而产生错误或舞弊；3、遵循国家相关法律法规、财经纪律及管理规定，明确各项支出的范围与审批程序、严格执行“收支两条线”管理规定、规范费用报销程序与要求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4、财务报告及相关信息真实可靠，对各项支出进行真实准确的记录，并对社会公众关注的“三公经费”等的支出情况及时进行分析与报告，支出公开、透明。</w:t>
      </w:r>
    </w:p>
    <w:p>
      <w:pPr>
        <w:pStyle w:val="2"/>
        <w:ind w:firstLine="640" w:firstLineChars="200"/>
        <w:rPr>
          <w:rFonts w:hint="eastAsia" w:ascii="楷体" w:hAnsi="楷体" w:eastAsia="楷体" w:cs="楷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（二）政府采购服务中心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现有工作人员2名。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1、关键业务岗位设置情况：按规定有专人在青海政府采购网上发布有关采购信息，发布各类招标采购公告、更正公告、结果公告等。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2、投诉举报情况：政府采购中心处理投诉流程清晰明确，本年度未收到任何质疑和投诉。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3、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岗位职责：根据有关文件要求，审核政采云平台入围商家资质条件、商品上架；编制招标文件，发布采购信息；负责抽取评标专家，组织开标，评标以及发布中标信息；对采购合同进行备案；投标保证金的收取与退还；受理供应商质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四、存在的问题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（一）政采云平台操作不熟练。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采购人对政采云平台操作不熟练，个别单位存在直接采购，未进行比价或议价现象。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仿宋_GB2312" w:cs="楷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整改措施：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此次检查中个别单位存在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直接采购，未进行比价或议价现象。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我局采购服务中心在加强政府采购宣传及培训力度的同时，要求各预算单位认真学习熟练操作政采云平台，进一步规范政府采购行为。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（二）培训费支出无文件。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2021年1月12号凭证，支付全省寺庙财税监管培训差旅率费520元，无相关培训文件。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整改措施：</w:t>
      </w:r>
      <w:r>
        <w:rPr>
          <w:rFonts w:hint="eastAsia" w:ascii="仿宋_GB2312" w:hAnsi="仿宋" w:eastAsia="仿宋_GB2312" w:cs="仿宋"/>
          <w:sz w:val="32"/>
          <w:szCs w:val="32"/>
        </w:rPr>
        <w:t>根据《会计法》第二章第十四条规定会计机构、会计人员必须按照国家统一的会计制度的规定对原始凭证进行审核，对不真实、不合法的原始凭证有权不予接受，并向单位负责人报告;对记载不准确、不完整的原始凭证予以退回，并要求按照国家统一的会计制度的规定更正、补充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此次检查中发现的相关费用支出未附文件的情况，责令单位会计及时补充完善财务支出资料，准确反应出每一笔支出。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五、综合评价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总体来看，财政局内部控制制度健全，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能认真贯彻执行上级部门关于加强内控建设的要求，国库、预算、行财等股室相互制约，相互监督机制健全。但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财政监督检查机制需进一步规范，</w:t>
      </w:r>
      <w:r>
        <w:rPr>
          <w:rFonts w:hint="eastAsia" w:ascii="仿宋_GB2312" w:hAnsi="仿宋" w:eastAsia="仿宋_GB2312" w:cs="仿宋"/>
          <w:sz w:val="32"/>
          <w:szCs w:val="32"/>
        </w:rPr>
        <w:t>当前的内部监督观念、方法、手段还比较落后，主要通过对业务管理部门的会计核算资料、预算执行结果等情况内部监督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没有充分利用内部网络技术，及时获取有效监督信息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，监督方式比较被动。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财政重点领域和重要环节重要流程和控制节点还需进一步梳理，确保让各业务人员熟知风险防控点，实施有效的内部控制。</w:t>
      </w:r>
    </w:p>
    <w:bookmarkEnd w:id="0"/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lang w:eastAsia="zh-CN"/>
        </w:rPr>
        <w:t>六</w:t>
      </w:r>
      <w:bookmarkStart w:id="5" w:name="_GoBack"/>
      <w:bookmarkEnd w:id="5"/>
      <w:r>
        <w:rPr>
          <w:rFonts w:hint="eastAsia" w:ascii="黑体" w:hAnsi="黑体" w:eastAsia="黑体" w:cs="黑体"/>
          <w:sz w:val="32"/>
        </w:rPr>
        <w:t>、其他事项</w:t>
      </w:r>
    </w:p>
    <w:p>
      <w:pPr>
        <w:spacing w:line="560" w:lineRule="exact"/>
        <w:ind w:firstLine="640" w:firstLineChars="200"/>
        <w:jc w:val="left"/>
        <w:rPr>
          <w:rFonts w:ascii="仿宋_GB2312" w:hAnsi="方正仿宋简体" w:eastAsia="仿宋_GB2312" w:cs="方正仿宋简体"/>
          <w:sz w:val="32"/>
        </w:rPr>
      </w:pPr>
      <w:r>
        <w:rPr>
          <w:rFonts w:hint="eastAsia" w:ascii="仿宋_GB2312" w:hAnsi="方正仿宋简体" w:eastAsia="仿宋_GB2312" w:cs="方正仿宋简体"/>
          <w:sz w:val="32"/>
        </w:rPr>
        <w:t>此项执法检查工作，接受社会各界的监督。</w:t>
      </w:r>
    </w:p>
    <w:p>
      <w:pPr>
        <w:spacing w:line="560" w:lineRule="exact"/>
        <w:ind w:firstLine="640" w:firstLineChars="200"/>
        <w:jc w:val="left"/>
        <w:rPr>
          <w:rFonts w:ascii="仿宋_GB2312" w:hAnsi="方正仿宋简体" w:eastAsia="仿宋_GB2312" w:cs="方正仿宋简体"/>
          <w:sz w:val="32"/>
        </w:rPr>
      </w:pPr>
      <w:r>
        <w:rPr>
          <w:rFonts w:hint="eastAsia" w:ascii="仿宋_GB2312" w:hAnsi="方正仿宋简体" w:eastAsia="仿宋_GB2312" w:cs="方正仿宋简体"/>
          <w:sz w:val="32"/>
        </w:rPr>
        <w:t>特此公告。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sz w:val="32"/>
          <w:szCs w:val="32"/>
        </w:rPr>
        <w:t>监督电话：8672234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MGE2YTA1MGIwOTNhYjFlN2ExYTBlYjk2YTFhOWMifQ=="/>
  </w:docVars>
  <w:rsids>
    <w:rsidRoot w:val="7E520C90"/>
    <w:rsid w:val="7E52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3">
    <w:name w:val="Normal Indent"/>
    <w:basedOn w:val="1"/>
    <w:unhideWhenUsed/>
    <w:qFormat/>
    <w:uiPriority w:val="99"/>
    <w:pPr>
      <w:spacing w:line="240" w:lineRule="atLeast"/>
      <w:ind w:firstLine="420" w:firstLineChars="200"/>
    </w:pPr>
    <w:rPr>
      <w:rFonts w:ascii="Times New Roman" w:hAnsi="Times New Roman" w:eastAsia="仿宋_GB2312"/>
      <w:spacing w:val="-6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2022-11-17T08:05:00Z</dcterms:created>
  <dc:creator>Jinhua</dc:creator>
  <cp:lastModifiedBy>Jinhua</cp:lastModifiedBy>
  <dcterms:modified xsi:type="dcterms:W3CDTF">2022-11-17T08:07:34Z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9C46267D641C4453A80E1D5DE3C77DF8</vt:lpwstr>
  </property>
</Properties>
</file>