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>祁连县生态环境局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单位衔接推进乡村振兴补助资金专项</w:t>
      </w:r>
      <w:r>
        <w:rPr>
          <w:rFonts w:hint="eastAsia" w:ascii="仿宋_GB2312" w:eastAsia="仿宋_GB2312"/>
          <w:sz w:val="32"/>
          <w:szCs w:val="32"/>
        </w:rPr>
        <w:t>检查情况送达给你单位。根据《财政检查工作办法》（财政部令32号），请你单位在收到之日起5个工作日内，提出书面意见或建议说明，送交我检查组。逾期未复，视为无异议。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2021年下达乡村振兴资金共计1176万元，其中：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第一批扶贫发展资金862万元，第四批中央财政专项扶贫资金238万元，项目管理费20万元，县级配套资金56万元。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1.祁连县央隆乡托勒村集体经济“牧光互补”羊棚提升改造（青贮草料加工基地）项目：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总计790万元（第一批扶贫发展资金750万元，项目管理费10万元，县级配套资金30万元）。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共计支出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785.3万元，其中：工程款748.25万元，待摊费37.05万元。2021年12月3日支出项目勘察费3万元、测绘费0.6万元、造价费2万元、可研费5万元、设计费17.75万元，2021年12月9日支出工程预付款150.15万元、安装工程预付款59.39万元，2021年12月15日支出采购款49.9万元，2021年12月23日支出安装款89.09万元，2022年5月17日支出招标代理费2.7万元，2022年6月21日支出工程进度款200.2万元，2022年6月28日支出安装尾款49.5万元、工程尾款150.15万元，2022年10月26日支出决算审核费2万元，2022年11月11日支出监理费4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4.7万元于2022年12月上缴国库。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2.央隆乡托勒村小型公益性基础设施补短板（通村公路和村内主干道连接）项目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：共计390.25万元（第一批扶贫发展资金112万元，第四批中央财政专项扶贫资金238万元，项目管理费10万元，县级配套26万元，村级自筹4.25万元）。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共计支出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378.64，其中：工程款335.44万元，待摊43.2万元。2021年12月3日支出项目勘察费12万元、测绘费5.9万元、造价费2万元、可研费3万元、设计费13万元，2021年12月9日支出前期费100.63万元，2022年5月17日招标代理费1.3万元，6月21日支出工程进度款134.18万元，2022年6月28日支出尾款100.63万元，2022年11月11日支出监理费4万元，2022年10月26日支出决算审核费2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结转：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7.36万元于2022年12月上缴国库。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2022年下达乡村振兴资金共计1631.75万元，其中：中央专项1550万元，县级配套81.75万元。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央隆乡祁连山牦牛繁育中心建设项目：共计1222.75万元（中央专项1150万元，县级配套72.75万元）。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共计支出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1156.77万元，其中：工程款1115.43万元，待摊费41.34万元。2022年6月28日支出30%工程款184.07万元，2022年8月30日支出38.08%工程款233.65万元,2022年9月29日支出16.92%工程款103.82万元，2022年10月26日支出15%工程款92.04万元，2022年10月24日支出监理费12.23万元、牦牛采购款501.85万元，2022年12月20日支出造价咨询费3.5万元、测绘费2万元、设计费16万元、采购招标代理费2.64万元、基建招标代理费3.5万元、可研费6.5万元、勘察费7.2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68.48万元（项目决算审计费未支出）。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央隆乡阿尔格村千头牦牛标准化养殖基地项目：共计409万元（中央资金400万元，县级配套9万元）。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共计支出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407.528万元，其中：工程款399.728万元，待摊费用7.8万元。2022年10月26日支出牦牛采购款399.728万元，2022年12月20日支出项目编制费3.3万元、招标代理费4.5万元。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1.472万元。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、存在问题及整改措施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（一）项目招标代理费超概算。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根据《基本建设财务规则》中华人民共和国财政部令第81号第一章第四条规定，合理编制项目资金预算，加强预算审核，严格预算执行。此次检查中央隆乡人民政府实施的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祁连县央隆乡托勒村集体经济“牧光互补”羊棚提升改造（青贮草料加工基地）项目，待摊费用概算36.35万元，实际支出37.05，其中招标代理费超支0.7万元。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整改措施：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责令祁连县央隆乡人民政府根据《基本建设财务规则》相关规定，严格编制项目概算、合理编制项目资金预算，加强预算审核，严格预算执行，今后工作中杜绝此类问题的发生。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未及时完成项目竣工结决算，超进度支出。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根据《基本建设财务规则》财政部令第81号，第八章第三十三条规定，项目建设单位在项目竣工后，应当及时编制项目竣工财务决算，并按照规定报送项目主管部门。此次检查中发现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央隆乡祁连山牦牛繁育中心建设项目，竣工验收时间2022年12月16日，工程款尾款支付日期2022年10月26日，未完成项目竣工结决算审计。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整改措施：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责令央隆乡人民政府严格按照《基本建设财务规则》《行政单位财务规则》等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规章制度，对已具备验收条件的项目，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及时组织验收，并编制项目竣工结决算，如有结余资金及时上缴财政国库，今后工作中要严格按照项目工程进度支付款项，坚决杜绝发生超进度支付工程款问题。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459B9"/>
    <w:multiLevelType w:val="singleLevel"/>
    <w:tmpl w:val="80B459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282CC2"/>
    <w:rsid w:val="18893A04"/>
    <w:rsid w:val="19ED1559"/>
    <w:rsid w:val="1A633E62"/>
    <w:rsid w:val="23897C05"/>
    <w:rsid w:val="26EB43EE"/>
    <w:rsid w:val="405D7635"/>
    <w:rsid w:val="40776358"/>
    <w:rsid w:val="60AC7BE7"/>
    <w:rsid w:val="60B62814"/>
    <w:rsid w:val="611F2AAF"/>
    <w:rsid w:val="65962C14"/>
    <w:rsid w:val="66432D9C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1812</Words>
  <Characters>2209</Characters>
  <Lines>0</Lines>
  <Paragraphs>0</Paragraphs>
  <TotalTime>0</TotalTime>
  <ScaleCrop>false</ScaleCrop>
  <LinksUpToDate>false</LinksUpToDate>
  <CharactersWithSpaces>2274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2023-04-19T01:08:03Z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76743268118846438856FEAAEFFFD653_13</vt:lpwstr>
  </property>
</Properties>
</file>