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财政检查征求意见函</w:t>
      </w:r>
    </w:p>
    <w:p>
      <w:pPr>
        <w:rPr>
          <w:rFonts w:hint="eastAsia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jc w:val="left"/>
        <w:textAlignment w:val="auto"/>
        <w:rPr>
          <w:rFonts w:hint="eastAsia" w:ascii="仿宋_GB2312" w:eastAsia="仿宋_GB2312"/>
          <w:sz w:val="32"/>
          <w:szCs w:val="32"/>
          <w:u w:val="single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u w:val="single"/>
          <w:lang w:val="en-US" w:eastAsia="zh-CN" w:bidi="ar"/>
        </w:rPr>
        <w:t>祁连县生态环境局</w:t>
      </w:r>
      <w:r>
        <w:rPr>
          <w:rFonts w:hint="eastAsia" w:ascii="仿宋_GB2312" w:eastAsia="仿宋_GB2312"/>
          <w:sz w:val="32"/>
          <w:szCs w:val="32"/>
          <w:u w:val="single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 xml:space="preserve">    现将我检查组对你</w:t>
      </w:r>
      <w:r>
        <w:rPr>
          <w:rFonts w:hint="eastAsia" w:ascii="仿宋_GB2312" w:eastAsia="仿宋_GB2312"/>
          <w:sz w:val="32"/>
          <w:szCs w:val="32"/>
          <w:lang w:eastAsia="zh-CN"/>
        </w:rPr>
        <w:t>单位衔接推进乡村振兴补助资金专项</w:t>
      </w:r>
      <w:r>
        <w:rPr>
          <w:rFonts w:hint="eastAsia" w:ascii="仿宋_GB2312" w:eastAsia="仿宋_GB2312"/>
          <w:sz w:val="32"/>
          <w:szCs w:val="32"/>
        </w:rPr>
        <w:t>检查情况送达给你单位。根据《财政检查工作办法》（财政部令32号），请你单位在收到之日起5个工作日内，提出书面意见或建议说明，送交我检查组。逾期未复，视为无异议。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特此告知。</w:t>
      </w:r>
    </w:p>
    <w:p>
      <w:pPr>
        <w:ind w:firstLine="643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b/>
          <w:bCs/>
          <w:sz w:val="32"/>
          <w:szCs w:val="32"/>
        </w:rPr>
        <w:t>附：</w:t>
      </w:r>
      <w:r>
        <w:rPr>
          <w:rFonts w:hint="eastAsia" w:ascii="仿宋_GB2312" w:eastAsia="仿宋_GB2312"/>
          <w:sz w:val="32"/>
          <w:szCs w:val="32"/>
        </w:rPr>
        <w:t>财政检查工作基本情况和被检查人存在问题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 检查组组长</w:t>
      </w:r>
      <w:r>
        <w:rPr>
          <w:rFonts w:hint="eastAsia" w:ascii="仿宋_GB2312" w:eastAsia="仿宋_GB2312"/>
          <w:sz w:val="32"/>
          <w:szCs w:val="32"/>
          <w:lang w:eastAsia="zh-CN"/>
        </w:rPr>
        <w:t>：李珠艳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435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备注:征求意见函一式两份，一份送达被检查人，一份检查组留存并纳入财政检查报告归档。</w:t>
      </w:r>
    </w:p>
    <w:p>
      <w:pPr>
        <w:ind w:firstLine="1546" w:firstLineChars="3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财政检查工作基本情况和</w:t>
      </w:r>
    </w:p>
    <w:p>
      <w:pPr>
        <w:ind w:firstLine="1988" w:firstLineChars="450"/>
        <w:jc w:val="both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被检查人存在的问题</w:t>
      </w:r>
    </w:p>
    <w:p>
      <w:pPr>
        <w:pStyle w:val="3"/>
        <w:shd w:val="clear" w:color="auto" w:fill="FFFFFF"/>
        <w:snapToGrid w:val="0"/>
        <w:spacing w:before="0" w:beforeAutospacing="0" w:after="0" w:afterAutospacing="0" w:line="560" w:lineRule="exact"/>
        <w:ind w:firstLine="640" w:firstLineChars="20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一、基本情况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textAlignment w:val="auto"/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楷体" w:hAnsi="楷体" w:eastAsia="楷体" w:cs="楷体"/>
          <w:b/>
          <w:bCs/>
          <w:color w:val="000000"/>
          <w:kern w:val="0"/>
          <w:sz w:val="32"/>
          <w:szCs w:val="32"/>
          <w:lang w:val="en-US" w:eastAsia="zh-CN" w:bidi="ar"/>
        </w:rPr>
        <w:t>2022年乡村振兴资金使用情况。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52"/>
          <w:tab w:val="left" w:pos="47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2022年下达乡村振兴资金共计3643.25万元，其中：中央资金1485万元、省级资金1867万元，县级配套291.25万元。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1.央隆乡托勒村农村生活污水处理及配套管网建设项目：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总计1441.31万元（省级乡村振兴资金1300万元，县级配套141.31万元）。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项目中标金额1241.459万元，项目支出1300万元，发生签证58.541万元，待摊费用支出89.482万元（6.872万元支出差旅费、办公费等）。2022年6月24日支出工程款631万元，2022年6月28日支出项目进度款95万元，2022年7月27日支出可研编制费7.99万元、地勘费9.928万元、测绘费3万元，2022年7月28日支出项目款140万元、项目结算审核费0.705万元、监理费2.15万元、决算审计费0.705万元，2022年8月17日支出差旅费0.23万元，2022年8月26日支出差旅费0.43万元，2022年9月23日支出项目款109万元，2022年10月19日支出验收管护员工资0.4万元，2022年10月31日支出招标代理费3.85万元、配套资金购置办公设备1.41万元、配套资金支出10月劳务费1.4万元、项目款142.31万元，2022年11月25日支出设计费39.42万元、监理费2.86万元，2022年11月29日支出项目款62.07万元，2022年12月7日支出签证费58.54万元，2022年12月15日支出植被恢复方案编制费7万元、项目环评费5万元、项目管理费3万元、项目图审费2.45万元。</w:t>
      </w:r>
    </w:p>
    <w:p>
      <w:pPr>
        <w:ind w:firstLine="643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2022年12月底结转二类费用12.0267万元，财政收回39.801万元。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2.八宝镇白土垭豁村农村生活污水配套管网建设项目：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总计434.54万元（中央乡村振兴资金404万元，县级配套30.54万元）。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2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项目中标价387.76万元，工程款总计支出349.68万元，待摊费用支出24.27万元（1.34万元用于办公费）2022年6月24日支出工程款260.29万元，2022年8月30日支出工程款70万元，2022年7月27日支出可研编制费3.53万元、地勘费2.11万元,2022年7月28日支出测绘费2万元、结算审核费0.37万元、监理费1.64万元、决算审核费0.37万元，2022年8月17日支出管理费（燃油）0.105万元，2022年9月23日支出招标代理费1.3万元，2022年11月25日支出设计费9.31万元、监理费2.18万元，2022年12月15日支出管理费1.35万元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2022年12月底结转工程款73.71万元，二类费用结转4.6625万元，财政收回1.6万元。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3.默勒镇海浪村农村生活污水处理及配套管网建设项目：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总计471.4万元（中央资金49万元，省级资金387万元，县级配套35.4万元）。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项目中标价414.24万元，工程款总计支出414.24万元，发生签证21.76万元，待摊费用总计支出25.05万元（0.81万元用于打字复印、燃油费等），2022年6月24日支出工程款224.8万元，2022年7月27日支出可研编制费4.04万元、地勘费2.69万元、测绘费2万元，2022年7月28日支出结决算审计费0.46万元、监理费1.26万元、工程款100万元，2022年8月17日支出燃油费0.13万元，2022年9月23日支出工程款10万元，2022年9月29日支出招标代理费1.46万元，2022年11月25日支出设计费10.65万元、监理费1.67万元、工程款58.72万元,2022年12月7日支出签证费21.76万元，2022年12月15日支出管理费0.41万元、打字复印费0.27万元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2022年12月底二类费用结转3.203万元，财政收回7.15万元。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4.八宝镇卡力岗村农村生活污水配套管网建设项目：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总计660.9万元（中央乡村振兴资金450万元，省级资金165.9万元，县级配套45万元）。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项目中标价613.4万元，项目资金支出585.23万元，发生签证2.49万元，待摊费用支出32.65万元（10142元支出办公费、燃油费），2022年6月29日支出工程预付款184.77万元，2022年7月28日支出工程款100万元，2022年9月5日支出工程款145.3626万元，2022年9月23日支出工程款32万元，2022年11月29日支出工程款120.6万元，2022年12月7日支出签证费2.49万元。2022年7月27日支出可研编制费4.8万元、地勘费31630元，2022年7月28日支出测绘费3万元、结算审核费0.3万元、监理费2.15万元、决算审核费0.3万元，2022年9月23日支出招标代理费1.5万元，2022年11月11日支出0.058万元，2022年11月25日支出设计费13.566万元、监理费2.86万元、管理费0.256万元，2022年12月19日支出劳务费0.7万元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2022年12月底二类费用结转4.6075万元，财政收回7.7397万元。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5.扎麻什夏塘村农村生活污水入户管网改造项目：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总计112万元（中央专项资金112万元）。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项目中标价99.78万元，工程款总计支出94.79万元，待摊费用支出8.25万元。2022年6月24日支出工程款40.91万元，2022年6月28日支出工程款16.8万元，2022年7月28日支出工程款20万元，2022年9月23日支出工程款3万元，2022年10月25日支出9.09万元，2022年11月25日支出工程款4.99万元。2022年6月28日支出可研编制费2.4万元、清单编制费0.76万元，2022年7月28日支出结决算审计费0.53万元，2022年11月25日支出监理费1.67万元、设计费2.89万元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2022年12月底结转工程款0.22万元，二类费用3.75万元。</w:t>
      </w:r>
    </w:p>
    <w:p>
      <w:pPr>
        <w:pStyle w:val="2"/>
        <w:numPr>
          <w:ilvl w:val="0"/>
          <w:numId w:val="0"/>
        </w:numPr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6.八宝镇营盘台村污水管网设施新建项目：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 xml:space="preserve">总计520.1万元（中央资金470万元，省级资金14.1万元，县级配套36万元）。  </w:t>
      </w:r>
    </w:p>
    <w:p>
      <w:pPr>
        <w:pStyle w:val="2"/>
        <w:numPr>
          <w:ilvl w:val="0"/>
          <w:numId w:val="0"/>
        </w:numPr>
        <w:ind w:firstLine="640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项目中标价460.73万元，项目工程款总计支出484.44万元，发生签证23.37万元，待摊费用支出26.52万元（0.7万元支出劳务费），2022年6月29日支出项目款240万元，2022年7月27日支出可研编制费3.85万元、地勘费2.47万元、测绘费2万元，2022年7月28日支出结决算审核费0.5万元、监理费1.65万元、项目款100万元，2022年9月23日支出工程款23.1万元，2022年10月28日支出工程款51.55万元，2022年11月25日支出项目款46.07万元（签证费23.37万元）、设计费2.19万元、招标代理费1.4万元，2022年11月29日支出劳务费0.7万元、项目款0.34万元。</w:t>
      </w:r>
    </w:p>
    <w:p>
      <w:pPr>
        <w:pStyle w:val="2"/>
        <w:ind w:firstLine="643" w:firstLineChars="200"/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 w:val="0"/>
          <w:kern w:val="2"/>
          <w:sz w:val="32"/>
          <w:szCs w:val="32"/>
          <w:lang w:val="en-US" w:eastAsia="zh-CN" w:bidi="ar-SA"/>
        </w:rPr>
        <w:t>结转：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lang w:val="en-US" w:eastAsia="zh-CN" w:bidi="ar-SA"/>
        </w:rPr>
        <w:t>2022年12月底结转二类费用5.5万元，财政收回4.98万元。</w:t>
      </w:r>
    </w:p>
    <w:p>
      <w:pPr>
        <w:pStyle w:val="2"/>
        <w:ind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</w:t>
      </w: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、存在问题及整改措施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（一）项目前期设计存在缺陷，4个项目发生签证。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根据《基本建设财务规则》中华人民共和国财政部令第81号第一章第四条规定，合理编制项目资金预算，加强预算审核，严格预算执行。第三章第十六条规定，项目建设单位编制项目预算应当以批准的概算未基础，按照项目实际建设资金需求编制，并控制在批准的概算总投资规模、范围和标准以内。如：央隆乡托勒村农村生活污水处理及配套管网建设项目发生签证费58.54万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整改措施：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责令祁连县生态环境局根据《基本建设财务规则》相关规定，严格编制项目前期设计、合理编制项目资金预算，加强预算审核，严格预算执行，今后工作中杜绝此类问题的发生。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zh-CN" w:eastAsia="zh-CN" w:bidi="ar-SA"/>
        </w:rPr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（二）县级配套资金管理使用不规范。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根据县财政局、县发改局、县林草局等五部门联合印发的《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zh-CN" w:eastAsia="zh-CN" w:bidi="ar-SA"/>
        </w:rPr>
        <w:t>祁连县财政衔接推进乡村振兴补助资金管理办法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》（祁财字〔2021〕428号）文件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zh-CN" w:eastAsia="zh-CN" w:bidi="ar-SA"/>
        </w:rPr>
        <w:t>第十条规定，县级财政衔接推进乡村振兴配套资金可用于衔接资金项目管理费（中央、省州下达项目管理费不足情况下），主要用于项目前期设计、评审、招标、监理、绩效评价等与项目管理相关的支出；可用于乡村振兴相关规划编制、政策宣传、业务培训、档案管理、脱贫群众（含监测对象）慰问金等方面的支出；可用于巩固拓展脱贫攻坚成果需求方面的支出；可用于支持中央、省级资金项目的配套资金使用；不得用于第七条规定的负面清单范围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此次检查中生态环境局使用县级配套资金用于购置办公设配、劳务费等支出，如：央隆乡托勒村农村生活污水处理及配套管网建设项目，2022年10月31日25号凭证支出办公设备购置费1.41万元，2022年8月17日21号、22号凭证支出差旅费2300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textAlignment w:val="auto"/>
      </w:pPr>
      <w:r>
        <w:rPr>
          <w:rFonts w:hint="eastAsia" w:ascii="楷体" w:hAnsi="楷体" w:eastAsia="楷体" w:cs="楷体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整改措施：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责令祁连县生态环境局严格按照《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zh-CN" w:eastAsia="zh-CN" w:bidi="ar-SA"/>
        </w:rPr>
        <w:t>祁连县财政衔接推进乡村振兴补助资金管理办法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》（祁财字〔2021〕428号）文件要求，加强县级配套资金管理，重新梳理县级配套资金各项支出，对不符合《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zh-CN" w:eastAsia="zh-CN" w:bidi="ar-SA"/>
        </w:rPr>
        <w:t>祁连县财政衔接推进乡村振兴补助资金管理办法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en-US" w:eastAsia="zh-CN" w:bidi="ar-SA"/>
        </w:rPr>
        <w:t>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shd w:val="clear" w:color="auto" w:fill="FFFFFF"/>
          <w:lang w:val="zh-CN" w:eastAsia="zh-CN" w:bidi="ar-SA"/>
        </w:rPr>
        <w:t>的支出追回，并上缴财政国库。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1MGE2YTA1MGIwOTNhYjFlN2ExYTBlYjk2YTFhOWMifQ=="/>
  </w:docVars>
  <w:rsids>
    <w:rsidRoot w:val="40776358"/>
    <w:rsid w:val="114E2471"/>
    <w:rsid w:val="12282CC2"/>
    <w:rsid w:val="18893A04"/>
    <w:rsid w:val="19ED1559"/>
    <w:rsid w:val="23897C05"/>
    <w:rsid w:val="26EB43EE"/>
    <w:rsid w:val="405D7635"/>
    <w:rsid w:val="40776358"/>
    <w:rsid w:val="54CC73B8"/>
    <w:rsid w:val="60AC7BE7"/>
    <w:rsid w:val="60B62814"/>
    <w:rsid w:val="611F2AAF"/>
    <w:rsid w:val="66432D9C"/>
    <w:rsid w:val="7825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next w:val="1"/>
    <w:qFormat/>
    <w:uiPriority w:val="99"/>
    <w:rPr>
      <w:sz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3049</Words>
  <Characters>3885</Characters>
  <Lines>0</Lines>
  <Paragraphs>0</Paragraphs>
  <TotalTime>0</TotalTime>
  <ScaleCrop>false</ScaleCrop>
  <LinksUpToDate>false</LinksUpToDate>
  <CharactersWithSpaces>3947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2023-01-09T02:55:00Z</dcterms:created>
  <dc:creator>Jinhua</dc:creator>
  <cp:lastModifiedBy>Jinhua</cp:lastModifiedBy>
  <dcterms:modified xsi:type="dcterms:W3CDTF">2023-04-19T01:08:24Z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AEE82441DD434688926B0DA139046F9B_13</vt:lpwstr>
  </property>
</Properties>
</file>